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中国教育发展战略学会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人才发展专业委员会</w:t>
      </w:r>
      <w:bookmarkStart w:id="5" w:name="_GoBack"/>
      <w:bookmarkEnd w:id="5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课题管理办法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第一章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总则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第一条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为规范有序</w:t>
      </w:r>
      <w:r>
        <w:rPr>
          <w:rFonts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地推动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中国教育发展战略学会人才发展专业委员会（以下简称人才专委会）会员单位及会员的学术研究</w:t>
      </w:r>
      <w:r>
        <w:rPr>
          <w:rFonts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，特制定本办法。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第二条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人才专委会的课题研究以习近平人才思想为指引，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深入研究我国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特别是教育领域人才发展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的重大理论与现实问题，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为国家特别是教育领域的相关决策服务，为会员单位的人才工作服务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第三条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课题分为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重点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课题和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一般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课题两类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。重点课题一般由人才专委会牵头组织会员单位、会员个人及相关专家合作开展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一般课题一般由会员单位或个人申报立项后开展。人才专委会不定期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发布课题指南。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第四条 课题的申报立项，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须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遵循下述原则: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1.与国家法律、法规和有关政策相一致;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2.提倡创新性、前瞻性、实践性;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有利于为相关政策提供帮助，有利于促进会员单位及个人的工作和发展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第五条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课题面向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面向全体会员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bookmarkStart w:id="0" w:name="25768864-26903905-2"/>
      <w:bookmarkEnd w:id="0"/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instrText xml:space="preserve"> HYPERLINK "https://baike.so.com/doc/25768864-26903905.html"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shd w:val="clear" w:fill="FFFFFF"/>
        </w:rPr>
        <w:t>折叠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第二章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组织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人才专委会理事长会与学术委员会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总体负责课题研究工作。主要职责有:指导、审核规划课题指南、重点课题选题和课题管理办法;对课题的立项申请进行审议;组织学术咨询和成果鉴定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及发布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第八条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秘书处在学术委员会指导下具体负责课题管理工作，主要职责有:制定并发布课题指南、重点课题选题,修订课题管理办法;受理课题申报;组织开展课题的立项审批;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组织课题的开题审议、中期检查，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审核结题材料;向完成课题研究的课题组颁发结题证书;组织课题成果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鉴定、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宣传推广等。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lang w:eastAsia="zh-CN"/>
        </w:rPr>
      </w:pPr>
      <w:bookmarkStart w:id="1" w:name="25768864-26903905-3"/>
      <w:bookmarkEnd w:id="1"/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instrText xml:space="preserve"> HYPERLINK "https://baike.so.com/doc/25768864-26903905.html"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shd w:val="clear" w:fill="FFFFFF"/>
        </w:rPr>
        <w:t>折叠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end"/>
      </w:r>
      <w:r>
        <w:rPr>
          <w:rFonts w:hint="eastAsia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第三章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申报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评审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eastAsia="zh-CN"/>
        </w:rPr>
        <w:t>、成果发布、经费来源及使用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eastAsiaTheme="minorEastAsia"/>
          <w:color w:val="333333"/>
          <w:lang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九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条 课题申报要求: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申报人一般为本会会员单位或个人会员。须填写专委会课题申报书。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第十条 课题的评审程序包含: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一般审查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学术认定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立项认定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和公示。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一般审查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秘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负责对所申报课题进行资格审查，合格者进入二审。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学术认定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:秘书处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组织学术委员会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专家进行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评议，提出立项意见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立项认定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理事长会议通过后由理事长签发立项书，并通过邮件告知课题负责人，发送专委会盖章的立项通知书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公示: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在人才专委会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网站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及微信公众号上发布立项名录及课题相关信息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申报时间及方式：常年接受申报，可先通过电子邮箱提交课题申报意向，之后寄送申报书。申报方式：邮箱。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课题研究经费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来源包括经营收入、会员赞助、企业赞助及政府部门等的课题经费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课题补助及使用：一般课题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2000元人民币；重点课题5000元人民币。课题补助以现金方式提供，可用于资料、差旅等各种与研究相关的支出。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799" w:firstLineChars="24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bookmarkStart w:id="2" w:name="25768864-26903905-4"/>
      <w:bookmarkEnd w:id="2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第四章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第十九条 秘书处在学术委员会的指导下，负责课题管理相关工作。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第二十条 管理工作包括:组织开题、日常管理、阶段报告和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调研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事项管理等。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组织开题: 课题负责人接到立项通知书后，应尽快确定课题的具体实施方案，在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规定时间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内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准备好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开题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报告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经由开题程序后形成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实施方案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并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报秘书处。课题负责人可向秘书处申请推荐开题专家。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日常管理: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秘书处负责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对研究过程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进行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检查和督促。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阶段报告: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课题负责人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应按立项时间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要求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提交中期研究报告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一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条 有下列变更情况之一者，课题组须提交书面请示，由课题负责人签字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备案。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变更课题负责人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420" w:leftChars="0" w:right="0" w:rightChars="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 变更课题名称或研究内容做重大调整;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 变更成果形式;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4.课题完成时间延期;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5. 因故中止课题;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6.联系人、通讯地址、联系方式等情况变动;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二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条 有下列情形之一者，由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撤销其课题。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 违反国家法律及有关规定者;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 有剽窃行为或弄虚作假者;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 与研究设计不符或学术质量低劣者;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4. 已到结题时间但未结题，且未提出延期申请者;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5. 获准延期但到期后仍不能完成者;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. 借课题研究之名，谋取不当利益者。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bookmarkStart w:id="3" w:name="25768864-26903905-5"/>
      <w:bookmarkEnd w:id="3"/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instrText xml:space="preserve"> HYPERLINK "https://baike.so.com/doc/25768864-26903905.html"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shd w:val="clear" w:fill="FFFFFF"/>
        </w:rPr>
        <w:t>折叠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end"/>
      </w:r>
      <w:r>
        <w:rPr>
          <w:rFonts w:hint="eastAsia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第五章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结题鉴定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条 课题研究工作完成，应组织课题结题鉴定工作。课题结题鉴定一般采取会议或通讯方式，由课题组自行组织，秘书处监督。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第二十四条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 结题验收。在专家鉴定的基础上，经学术委员会审定，向课题组颁发《中国教育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发展战略学会人才专业委员会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课题结题证书》。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五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课题验收后，相关材料须提交秘书处存档备案。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包括:开题报告，研究工作(实验或调研)报告，成果简介，课题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成果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被决策部门采纳或在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相关工作实践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中应用推广情况介绍等。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</w:rPr>
      </w:pPr>
      <w:bookmarkStart w:id="4" w:name="25768864-26903905-6"/>
      <w:bookmarkEnd w:id="4"/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instrText xml:space="preserve"> HYPERLINK "https://baike.so.com/doc/25768864-26903905.html"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shd w:val="clear" w:fill="FFFFFF"/>
        </w:rPr>
        <w:t>折叠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end"/>
      </w:r>
      <w:r>
        <w:rPr>
          <w:rFonts w:hint="eastAsia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第六章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成果推广与使用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六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 xml:space="preserve">条 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人才专委会将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采取积极措施，加强优秀课题成果的宣传、推广，以充分发挥其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在相关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决策和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工作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实践中的作用。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1.推广方式包括推荐报刊发表，利用网站和其他相关媒体宣传推广，报送有关部门作为决策参考，召开课题成果报告会发布研究成果信息，组织多种形式的实验推广、专题培训或学术研讨等。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color w:val="333333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2.课题的研究成果归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人才专委会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与课题组共同所有。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.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在课题成果达到一定数量后，专委会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将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评选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优秀课题研究成果。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single" w:color="37AB2F" w:sz="48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225" w:afterAutospacing="0" w:line="330" w:lineRule="atLeast"/>
        <w:ind w:left="-450" w:right="0" w:firstLine="300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instrText xml:space="preserve"> HYPERLINK "https://baike.so.com/doc/25768864-26903905.html" </w:instrTex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shd w:val="clear" w:fill="FFFFFF"/>
        </w:rPr>
        <w:t>折叠</w:t>
      </w:r>
      <w:r>
        <w:rPr>
          <w:rFonts w:hint="eastAsia" w:ascii="微软雅黑" w:hAnsi="微软雅黑" w:eastAsia="微软雅黑" w:cs="微软雅黑"/>
          <w:i w:val="0"/>
          <w:caps w:val="0"/>
          <w:spacing w:val="0"/>
          <w:sz w:val="0"/>
          <w:szCs w:val="0"/>
          <w:u w:val="none"/>
          <w:bdr w:val="single" w:color="37AB2F" w:sz="48" w:space="0"/>
          <w:shd w:val="clear" w:fill="FFFFFF"/>
        </w:rPr>
        <w:fldChar w:fldCharType="end"/>
      </w:r>
      <w:r>
        <w:rPr>
          <w:rFonts w:hint="eastAsia" w:cs="宋体"/>
          <w:i w:val="0"/>
          <w:caps w:val="0"/>
          <w:color w:val="319818"/>
          <w:spacing w:val="0"/>
          <w:sz w:val="18"/>
          <w:szCs w:val="18"/>
          <w:u w:val="none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第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七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</w:rPr>
        <w:t>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 xml:space="preserve">  编委会设立与职责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8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第二十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七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条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 编委会的组建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28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人才发展专委会为拓展课题成果的发布渠道，加强对外宣传和推广工作，保证课题研究质量，加强与全球知名学术出版机构和期刊的联系与合作，积极开设专刊，集中发表课题成果（论文、报告等），专门组建编委会，编委会相关职责包括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1.贯彻执行党和国家有关编辑出版的方针、政策和法令。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2.审定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专刊与人才发展专委会的研究方向和核心研究任务，落实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编辑方针和宗旨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3.检查指导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秘书处课题及专刊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组织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4.定期召开编委会会议，研究解决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课题成果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有关编辑出版发行中的问题。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5.编委会委员应按时参加编委会会议，研究编辑、出版中的政策问题和技术性问题，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与合作期刊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编辑部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相互配合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，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保证专刊出版质量。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6.编委会成员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负责课题成果的质量审查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，将创新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或优秀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的稿件及时推荐给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合作期刊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编辑部，为编辑部组稿、审稿提供信息。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7.向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合作期刊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编辑部提供读者和作者对编辑部排版、印刷、发行方面的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反馈意见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8.评审稿件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质量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6" w:afterAutospacing="0" w:line="360" w:lineRule="atLeast"/>
        <w:ind w:left="0" w:right="0" w:firstLine="420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CF61D4"/>
    <w:multiLevelType w:val="singleLevel"/>
    <w:tmpl w:val="ADCF61D4"/>
    <w:lvl w:ilvl="0" w:tentative="0">
      <w:start w:val="11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4C994937"/>
    <w:multiLevelType w:val="singleLevel"/>
    <w:tmpl w:val="4C99493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174F19"/>
    <w:rsid w:val="23DD0814"/>
    <w:rsid w:val="3CA248A3"/>
    <w:rsid w:val="5B16367A"/>
    <w:rsid w:val="6E10751E"/>
    <w:rsid w:val="72174F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2019-03-22T01:36:00Z</dcterms:created>
  <dc:creator>yyn</dc:creator>
  <cp:lastModifiedBy>夏雨（春风）</cp:lastModifiedBy>
  <dcterms:modified xsi:type="dcterms:W3CDTF">2019-04-09T10:51:37Z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