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新疆大学法学院高层次人才引进公告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一、学院发展历史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u w:val="none" w:color="auto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 w:color="auto"/>
        </w:rPr>
        <w:t>新疆大学法学专业始于1924年成立的新疆俄文法政专门学校，1980年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 w:color="auto"/>
          <w:lang w:val="en-US" w:eastAsia="zh-CN"/>
        </w:rPr>
        <w:t>7月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 w:color="auto"/>
        </w:rPr>
        <w:t>经教育部批准成立新疆大学法律系，1981年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 w:color="auto"/>
          <w:lang w:val="en-US" w:eastAsia="zh-CN"/>
        </w:rPr>
        <w:t>8月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 w:color="auto"/>
        </w:rPr>
        <w:t>开始招收法学本科生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u w:val="none" w:color="auto"/>
          <w:lang w:eastAsia="zh-CN"/>
        </w:rPr>
        <w:t>；</w:t>
      </w:r>
      <w:r>
        <w:rPr>
          <w:rStyle w:val="6"/>
          <w:rFonts w:hint="eastAsia" w:ascii="方正仿宋_GBK" w:hAnsi="方正仿宋_GBK" w:eastAsia="方正仿宋_GBK" w:cs="方正仿宋_GBK"/>
          <w:color w:val="000000"/>
          <w:sz w:val="32"/>
          <w:szCs w:val="32"/>
        </w:rPr>
        <w:t>1999年1月新疆大学法律系与政治系合并组建新疆大学政法学院</w:t>
      </w:r>
      <w:r>
        <w:rPr>
          <w:rStyle w:val="6"/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，</w:t>
      </w:r>
      <w:r>
        <w:rPr>
          <w:rStyle w:val="6"/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2001年1月政法学院改名法学院，2006年1月</w:t>
      </w:r>
      <w:r>
        <w:rPr>
          <w:rStyle w:val="6"/>
          <w:rFonts w:hint="eastAsia" w:ascii="方正仿宋_GBK" w:hAnsi="方正仿宋_GBK" w:eastAsia="方正仿宋_GBK" w:cs="方正仿宋_GBK"/>
          <w:color w:val="000000"/>
          <w:sz w:val="32"/>
          <w:szCs w:val="32"/>
        </w:rPr>
        <w:t>学院非法学专业与新疆大学原社科部合并</w:t>
      </w:r>
      <w:r>
        <w:rPr>
          <w:rStyle w:val="6"/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成立</w:t>
      </w:r>
      <w:r>
        <w:rPr>
          <w:rStyle w:val="6"/>
          <w:rFonts w:hint="eastAsia" w:ascii="方正仿宋_GBK" w:hAnsi="方正仿宋_GBK" w:eastAsia="方正仿宋_GBK" w:cs="方正仿宋_GBK"/>
          <w:color w:val="000000"/>
          <w:sz w:val="32"/>
          <w:szCs w:val="32"/>
        </w:rPr>
        <w:t>政治与公共管理学院，法学院仅保留法学专业，名称不变</w:t>
      </w:r>
      <w:r>
        <w:rPr>
          <w:rStyle w:val="6"/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；</w:t>
      </w:r>
      <w:r>
        <w:rPr>
          <w:rStyle w:val="6"/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2007年获批法律硕士专业学位点，2010年获批法学一级学科硕士学位授权点，2012年新增知识产权本科专业，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2018年获批西北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地区首个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法学一级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学科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博士学位授权点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2019年入选教育部“双万计划”一流本科建设单位，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2021年入选新疆大学一流学科马克思主义学科支撑学科，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2022年新疆大学法学学科获批新疆“十四五”规划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15"/>
          <w:sz w:val="32"/>
          <w:szCs w:val="32"/>
          <w:shd w:val="clear" w:fill="FFFFFF"/>
        </w:rPr>
        <w:t>特色学科创新工程建设学科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 w:color="FFFFFF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二、学科发展方向和特色亮点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 w:color="auto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 w:color="auto"/>
          <w:lang w:eastAsia="zh-CN"/>
        </w:rPr>
        <w:t>围绕“丝绸之路经济带核心区建设法治保障”，法学院已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 w:color="auto"/>
          <w:lang w:val="en-US" w:eastAsia="zh-CN"/>
        </w:rPr>
        <w:t>建成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 w:color="auto"/>
          <w:lang w:eastAsia="zh-CN"/>
        </w:rPr>
        <w:t>新疆高校唯一具备“本-硕-博”完整且特色明显的人才培养体系，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 w:color="auto"/>
          <w:lang w:val="en-US" w:eastAsia="zh-CN"/>
        </w:rPr>
        <w:t>本科设有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 w:color="auto"/>
        </w:rPr>
        <w:t>法学和知识产权2个本科专业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 w:color="auto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 w:color="auto"/>
        </w:rPr>
        <w:t>法学一级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 w:color="auto"/>
          <w:lang w:eastAsia="zh-CN"/>
        </w:rPr>
        <w:t>学科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 w:color="auto"/>
        </w:rPr>
        <w:t>硕士学位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 w:color="auto"/>
          <w:lang w:eastAsia="zh-CN"/>
        </w:rPr>
        <w:t>授权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 w:color="auto"/>
        </w:rPr>
        <w:t>点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 w:color="auto"/>
          <w:lang w:val="en-US" w:eastAsia="zh-CN"/>
        </w:rPr>
        <w:t>设有法学理论、法律史、宪法学与行政法学、刑法学、民商法学、经济法学、国际法学和党内法规学8个二级硕士学位点；法学一级学科博士学位授权点设有法学理论、法律史、民商法学、国际法学四个二级博士学位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 w:color="auto"/>
          <w:lang w:eastAsia="zh-CN"/>
        </w:rPr>
        <w:t>学院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 w:color="auto"/>
        </w:rPr>
        <w:t>紧扣新时代党的治疆方略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 w:color="auto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 w:color="auto"/>
          <w:lang w:val="en-US" w:eastAsia="zh-CN"/>
        </w:rPr>
        <w:t>依托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u w:val="none" w:color="auto"/>
          <w:shd w:val="clear" w:color="auto" w:fill="FFFFFF"/>
          <w:lang w:val="en-US" w:eastAsia="zh-CN" w:bidi="ar"/>
        </w:rPr>
        <w:t>教育部西部基层卓越法律人才培养基地、国家知识产权培训（新疆）基地、新时代依法治疆研究基地、新疆人权保障与发展进步研究中心、新疆党内法规研究中心等省部级科研平台，以及习近平法治思想研究中心、丝绸之路经济带国家法律研究中心、丝绸之路经济带沿线国家法律查明中心、人工智能与知识产权研究中心、地方立法研究中心、武汉大学网络治理研究院（新疆）分院等校级科研平台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 w:color="auto"/>
          <w:lang w:val="en-US" w:eastAsia="zh-CN"/>
        </w:rPr>
        <w:t>凝练形成了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 w:color="auto"/>
        </w:rPr>
        <w:t>法治新疆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 w:color="auto"/>
          <w:lang w:val="en-US" w:eastAsia="zh-CN"/>
        </w:rPr>
        <w:t>现代化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 w:color="auto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 w:color="auto"/>
        </w:rPr>
        <w:t>丝绸之路经济带经贸法律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 w:color="auto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 w:color="auto"/>
        </w:rPr>
        <w:t>人权保障与涉外法治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 w:color="auto"/>
          <w:lang w:val="en-US" w:eastAsia="zh-CN"/>
        </w:rPr>
        <w:t>三个特色研究方向。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 w:color="auto"/>
          <w:lang w:val="en-US" w:eastAsia="zh-CN"/>
        </w:rPr>
        <w:t>教学科研团队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rPr>
          <w:rFonts w:hint="default" w:ascii="方正仿宋_GB2312" w:hAnsi="方正仿宋_GB2312" w:eastAsia="方正仿宋_GB2312" w:cs="方正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u w:val="none" w:color="auto"/>
          <w:lang w:val="en-US" w:eastAsia="zh-CN"/>
        </w:rPr>
        <w:t>学院现有专职教师48人其中教授16人、副教授12人、讲师20人，具有博士学位教师34人，校内博士导师16人、硕士导师37人，现有法学理论、法律史、民商法学、经济法学、宪法与行政法学、刑法学、国际法学、党内法规学8个教学科研团队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rPr>
          <w:rFonts w:hint="eastAsia" w:ascii="黑体" w:hAnsi="黑体" w:eastAsia="黑体" w:cs="黑体"/>
          <w:sz w:val="32"/>
          <w:szCs w:val="32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 w:color="auto"/>
          <w:lang w:val="en-US" w:eastAsia="zh-CN"/>
        </w:rPr>
        <w:t>近年成果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u w:val="none" w:color="auto"/>
          <w:lang w:val="en-US" w:eastAsia="zh-CN"/>
        </w:rPr>
        <w:t>近五年来，学院获批各类项目175项，其中国家级项目18项包括重大项目1项、重点项目1项，省部级项目29项，科研经费达1339.88万元；发表核心期刊论文82篇，出版学术专著12部；获得省部级及其他各类奖项34项。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rPr>
          <w:rFonts w:hint="eastAsia" w:ascii="黑体" w:hAnsi="黑体" w:eastAsia="黑体" w:cs="黑体"/>
          <w:sz w:val="32"/>
          <w:szCs w:val="32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 w:color="auto"/>
          <w:lang w:val="en-US" w:eastAsia="zh-CN"/>
        </w:rPr>
        <w:t>未来发展方向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方正仿宋_GB2312" w:hAnsi="方正仿宋_GB2312" w:eastAsia="方正仿宋_GB2312" w:cs="方正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 w:color="auto"/>
          <w:lang w:val="en-US" w:eastAsia="zh-CN"/>
        </w:rPr>
        <w:t>学院将聚焦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 w:color="auto"/>
        </w:rPr>
        <w:t>法治新疆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 w:color="auto"/>
          <w:lang w:val="en-US" w:eastAsia="zh-CN"/>
        </w:rPr>
        <w:t>现代化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 w:color="auto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 w:color="auto"/>
        </w:rPr>
        <w:t>丝绸之路经济带经贸法律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 w:color="auto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 w:color="auto"/>
        </w:rPr>
        <w:t>人权保障与涉外法治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 w:color="auto"/>
          <w:lang w:val="en-US" w:eastAsia="zh-CN"/>
        </w:rPr>
        <w:t>三个特色研究方向，以区域特色强、成果显示度高为目标，立足现有基础研究，通过引“智”增“效”，不断提升教学科研水平，提高人才培养质量，增强社会服务能力。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rPr>
          <w:rFonts w:hint="eastAsia" w:ascii="黑体" w:hAnsi="黑体" w:eastAsia="黑体" w:cs="黑体"/>
          <w:sz w:val="32"/>
          <w:szCs w:val="32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 w:color="auto"/>
          <w:lang w:val="en-US" w:eastAsia="zh-CN"/>
        </w:rPr>
        <w:t>联系人及联系方式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u w:val="none" w:color="auto"/>
          <w:lang w:val="en-US" w:eastAsia="zh-CN"/>
        </w:rPr>
        <w:t>书记电话：0991-8592545，邮箱：717561648@qq.com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u w:val="none" w:color="auto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u w:val="none" w:color="auto"/>
          <w:lang w:val="en-US" w:eastAsia="zh-CN"/>
        </w:rPr>
        <w:t>院长电话：0991-8592051，邮箱：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 w:color="auto"/>
          <w:lang w:val="en-US" w:eastAsia="zh-CN"/>
        </w:rPr>
        <w:t>zjjzqc@163.com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rPr>
          <w:rFonts w:hint="default" w:ascii="方正仿宋_GB2312" w:hAnsi="方正仿宋_GB2312" w:eastAsia="方正仿宋_GB2312" w:cs="方正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u w:val="none" w:color="auto"/>
          <w:lang w:val="en-US" w:eastAsia="zh-CN"/>
        </w:rPr>
        <w:t>人才专员电话：0991-8592952，邮箱：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u w:val="none" w:color="auto"/>
          <w:lang w:val="en-US" w:eastAsia="zh-CN"/>
        </w:rPr>
        <w:t>25415744@qq.com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both"/>
        <w:rPr>
          <w:rFonts w:hint="eastAsia" w:ascii="黑体" w:hAnsi="黑体" w:eastAsia="黑体" w:cs="黑体"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both"/>
        <w:rPr>
          <w:rFonts w:hint="eastAsia" w:ascii="黑体" w:hAnsi="黑体" w:eastAsia="黑体" w:cs="黑体"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both"/>
        <w:rPr>
          <w:rFonts w:hint="eastAsia" w:ascii="黑体" w:hAnsi="黑体" w:eastAsia="黑体" w:cs="黑体"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right"/>
        <w:rPr>
          <w:rFonts w:hint="eastAsia" w:ascii="方正仿宋_GB2312" w:hAnsi="方正仿宋_GB2312" w:eastAsia="方正仿宋_GB2312" w:cs="方正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u w:val="none" w:color="auto"/>
          <w:lang w:val="en-US" w:eastAsia="zh-CN"/>
        </w:rPr>
        <w:t>新疆大学法学院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right"/>
        <w:rPr>
          <w:rFonts w:hint="default" w:ascii="方正仿宋_GB2312" w:hAnsi="方正仿宋_GB2312" w:eastAsia="方正仿宋_GB2312" w:cs="方正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u w:val="none" w:color="auto"/>
          <w:lang w:val="en-US" w:eastAsia="zh-CN"/>
        </w:rPr>
        <w:t>2023年7月14日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21B7EB"/>
    <w:multiLevelType w:val="singleLevel"/>
    <w:tmpl w:val="1121B7E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5OTMzNzNjNDI1ZDZhMDQzZjY1YmQ0MjE1NzQwYjAifQ=="/>
  </w:docVars>
  <w:rsids>
    <w:rsidRoot w:val="218E39B7"/>
    <w:rsid w:val="100A25F0"/>
    <w:rsid w:val="1A4A7372"/>
    <w:rsid w:val="218E39B7"/>
    <w:rsid w:val="30393C13"/>
    <w:rsid w:val="3645399C"/>
    <w:rsid w:val="3BB45446"/>
    <w:rsid w:val="4E156558"/>
    <w:rsid w:val="58B279CC"/>
    <w:rsid w:val="6A0A7E57"/>
    <w:rsid w:val="7653618E"/>
    <w:rsid w:val="7F7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ca-1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1142</Words>
  <Characters>1280</Characters>
  <Lines>0</Lines>
  <Paragraphs>0</Paragraphs>
  <TotalTime>0</TotalTime>
  <ScaleCrop>false</ScaleCrop>
  <LinksUpToDate>false</LinksUpToDate>
  <CharactersWithSpaces>1280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2023-07-04T11:52:00Z</dcterms:created>
  <dc:creator>Mr.言午</dc:creator>
  <cp:lastModifiedBy>随风</cp:lastModifiedBy>
  <dcterms:modified xsi:type="dcterms:W3CDTF">2023-07-21T08:03:13Z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3C309382A48D48A2AA0DA06256D5F3DE_11</vt:lpwstr>
  </property>
</Properties>
</file>