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40"/>
          <w:lang w:val="en-US" w:eastAsia="zh-CN"/>
        </w:rPr>
      </w:pPr>
      <w:r>
        <w:rPr>
          <w:rFonts w:hint="eastAsia" w:ascii="宋体" w:hAnsi="宋体" w:eastAsia="宋体" w:cs="宋体"/>
          <w:sz w:val="32"/>
          <w:szCs w:val="40"/>
          <w:lang w:val="en-US" w:eastAsia="zh-CN"/>
        </w:rPr>
        <w:t xml:space="preserve">附件2                               </w:t>
      </w:r>
    </w:p>
    <w:p>
      <w:pPr>
        <w:jc w:val="center"/>
        <w:rPr>
          <w:rFonts w:ascii="微软雅黑" w:hAnsi="微软雅黑" w:eastAsia="微软雅黑" w:cs="微软雅黑"/>
          <w:b/>
          <w:bCs/>
          <w:color w:val="404040"/>
          <w:spacing w:val="18"/>
          <w:sz w:val="40"/>
          <w:szCs w:val="40"/>
        </w:rPr>
      </w:pPr>
      <w:r>
        <w:rPr>
          <w:rFonts w:ascii="微软雅黑" w:hAnsi="微软雅黑" w:eastAsia="微软雅黑" w:cs="微软雅黑"/>
          <w:b/>
          <w:bCs/>
          <w:color w:val="404040"/>
          <w:spacing w:val="18"/>
          <w:sz w:val="40"/>
          <w:szCs w:val="40"/>
        </w:rPr>
        <w:t>拔尖人才引进分</w:t>
      </w:r>
      <w:bookmarkStart w:id="0" w:name="_GoBack"/>
      <w:bookmarkEnd w:id="0"/>
      <w:r>
        <w:rPr>
          <w:rFonts w:ascii="微软雅黑" w:hAnsi="微软雅黑" w:eastAsia="微软雅黑" w:cs="微软雅黑"/>
          <w:b/>
          <w:bCs/>
          <w:color w:val="404040"/>
          <w:spacing w:val="18"/>
          <w:sz w:val="40"/>
          <w:szCs w:val="40"/>
        </w:rPr>
        <w:t>级条件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035"/>
        <w:gridCol w:w="9280"/>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35" w:type="dxa"/>
            <w:vMerge w:val="restart"/>
            <w:vAlign w:val="center"/>
          </w:tcPr>
          <w:p>
            <w:pPr>
              <w:spacing w:before="148" w:line="185" w:lineRule="auto"/>
              <w:jc w:val="center"/>
              <w:rPr>
                <w:rFonts w:hint="default" w:ascii="微软雅黑" w:hAnsi="微软雅黑" w:eastAsia="微软雅黑" w:cs="微软雅黑"/>
                <w:b/>
                <w:bCs/>
                <w:color w:val="404040"/>
                <w:spacing w:val="18"/>
                <w:sz w:val="28"/>
                <w:szCs w:val="28"/>
                <w:vertAlign w:val="baseline"/>
                <w:lang w:val="en-US" w:eastAsia="zh-CN"/>
              </w:rPr>
            </w:pPr>
            <w:r>
              <w:rPr>
                <w:rFonts w:hint="eastAsia" w:ascii="微软雅黑" w:hAnsi="微软雅黑" w:eastAsia="微软雅黑" w:cs="微软雅黑"/>
                <w:b/>
                <w:bCs/>
                <w:color w:val="404040"/>
                <w:spacing w:val="18"/>
                <w:sz w:val="28"/>
                <w:szCs w:val="28"/>
                <w:vertAlign w:val="baseline"/>
                <w:lang w:val="en-US" w:eastAsia="zh-CN"/>
              </w:rPr>
              <w:t>条件级别</w:t>
            </w:r>
          </w:p>
        </w:tc>
        <w:tc>
          <w:tcPr>
            <w:tcW w:w="13650" w:type="dxa"/>
            <w:gridSpan w:val="2"/>
          </w:tcPr>
          <w:p>
            <w:pPr>
              <w:spacing w:before="148" w:line="185" w:lineRule="auto"/>
              <w:jc w:val="center"/>
              <w:rPr>
                <w:rFonts w:hint="default" w:ascii="微软雅黑" w:hAnsi="微软雅黑" w:eastAsia="微软雅黑" w:cs="微软雅黑"/>
                <w:b/>
                <w:bCs/>
                <w:color w:val="404040"/>
                <w:spacing w:val="18"/>
                <w:sz w:val="28"/>
                <w:szCs w:val="28"/>
                <w:vertAlign w:val="baseline"/>
                <w:lang w:val="en-US" w:eastAsia="zh-CN"/>
              </w:rPr>
            </w:pPr>
            <w:r>
              <w:rPr>
                <w:rFonts w:hint="eastAsia" w:ascii="微软雅黑" w:hAnsi="微软雅黑" w:eastAsia="微软雅黑" w:cs="微软雅黑"/>
                <w:b/>
                <w:bCs/>
                <w:color w:val="404040"/>
                <w:spacing w:val="18"/>
                <w:sz w:val="28"/>
                <w:szCs w:val="28"/>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 w:type="dxa"/>
            <w:vMerge w:val="continue"/>
            <w:tcBorders/>
          </w:tcPr>
          <w:p>
            <w:pPr>
              <w:spacing w:before="148" w:line="185" w:lineRule="auto"/>
              <w:jc w:val="center"/>
              <w:rPr>
                <w:rFonts w:ascii="微软雅黑" w:hAnsi="微软雅黑" w:eastAsia="微软雅黑" w:cs="微软雅黑"/>
                <w:b/>
                <w:bCs/>
                <w:color w:val="404040"/>
                <w:spacing w:val="18"/>
                <w:sz w:val="28"/>
                <w:szCs w:val="28"/>
                <w:vertAlign w:val="baseline"/>
              </w:rPr>
            </w:pPr>
          </w:p>
        </w:tc>
        <w:tc>
          <w:tcPr>
            <w:tcW w:w="9280" w:type="dxa"/>
          </w:tcPr>
          <w:p>
            <w:pPr>
              <w:spacing w:before="148" w:line="185" w:lineRule="auto"/>
              <w:jc w:val="center"/>
              <w:rPr>
                <w:rFonts w:hint="eastAsia" w:ascii="微软雅黑" w:hAnsi="微软雅黑" w:eastAsia="微软雅黑" w:cs="微软雅黑"/>
                <w:b/>
                <w:bCs/>
                <w:color w:val="404040"/>
                <w:spacing w:val="18"/>
                <w:sz w:val="28"/>
                <w:szCs w:val="28"/>
                <w:vertAlign w:val="baseline"/>
                <w:lang w:val="en-US" w:eastAsia="zh-CN"/>
              </w:rPr>
            </w:pPr>
            <w:r>
              <w:rPr>
                <w:rFonts w:hint="eastAsia" w:ascii="微软雅黑" w:hAnsi="微软雅黑" w:eastAsia="微软雅黑" w:cs="微软雅黑"/>
                <w:b/>
                <w:bCs/>
                <w:color w:val="404040"/>
                <w:spacing w:val="18"/>
                <w:sz w:val="28"/>
                <w:szCs w:val="28"/>
                <w:vertAlign w:val="baseline"/>
                <w:lang w:val="en-US" w:eastAsia="zh-CN"/>
              </w:rPr>
              <w:t>科研类</w:t>
            </w:r>
          </w:p>
        </w:tc>
        <w:tc>
          <w:tcPr>
            <w:tcW w:w="4370" w:type="dxa"/>
          </w:tcPr>
          <w:p>
            <w:pPr>
              <w:spacing w:before="148" w:line="185" w:lineRule="auto"/>
              <w:jc w:val="center"/>
              <w:rPr>
                <w:rFonts w:hint="eastAsia" w:ascii="微软雅黑" w:hAnsi="微软雅黑" w:eastAsia="微软雅黑" w:cs="微软雅黑"/>
                <w:b/>
                <w:bCs/>
                <w:color w:val="404040"/>
                <w:spacing w:val="18"/>
                <w:sz w:val="28"/>
                <w:szCs w:val="28"/>
                <w:vertAlign w:val="baseline"/>
                <w:lang w:val="en-US" w:eastAsia="zh-CN"/>
              </w:rPr>
            </w:pPr>
            <w:r>
              <w:rPr>
                <w:rFonts w:hint="eastAsia" w:ascii="微软雅黑" w:hAnsi="微软雅黑" w:eastAsia="微软雅黑" w:cs="微软雅黑"/>
                <w:b/>
                <w:bCs/>
                <w:color w:val="404040"/>
                <w:spacing w:val="18"/>
                <w:sz w:val="28"/>
                <w:szCs w:val="28"/>
                <w:vertAlign w:val="baseline"/>
                <w:lang w:val="en-US" w:eastAsia="zh-CN"/>
              </w:rPr>
              <w:t>教学类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8" w:hRule="atLeast"/>
        </w:trPr>
        <w:tc>
          <w:tcPr>
            <w:tcW w:w="1035" w:type="dxa"/>
            <w:vAlign w:val="center"/>
          </w:tcPr>
          <w:p>
            <w:pPr>
              <w:spacing w:before="148" w:line="185" w:lineRule="auto"/>
              <w:jc w:val="center"/>
              <w:rPr>
                <w:rFonts w:hint="default" w:ascii="微软雅黑" w:hAnsi="微软雅黑" w:eastAsia="微软雅黑" w:cs="微软雅黑"/>
                <w:b/>
                <w:bCs/>
                <w:color w:val="404040"/>
                <w:spacing w:val="18"/>
                <w:sz w:val="32"/>
                <w:szCs w:val="32"/>
                <w:vertAlign w:val="baseline"/>
                <w:lang w:val="en-US" w:eastAsia="zh-CN"/>
              </w:rPr>
            </w:pPr>
            <w:r>
              <w:rPr>
                <w:rFonts w:hint="eastAsia" w:ascii="微软雅黑" w:hAnsi="微软雅黑" w:eastAsia="微软雅黑" w:cs="微软雅黑"/>
                <w:b/>
                <w:bCs/>
                <w:color w:val="404040"/>
                <w:spacing w:val="18"/>
                <w:sz w:val="32"/>
                <w:szCs w:val="32"/>
                <w:vertAlign w:val="baseline"/>
                <w:lang w:val="en-US" w:eastAsia="zh-CN"/>
              </w:rPr>
              <w:t>T级</w:t>
            </w:r>
          </w:p>
        </w:tc>
        <w:tc>
          <w:tcPr>
            <w:tcW w:w="928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1 - 1 . 中国工程院、科学院院士、外籍院士。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1 - 2 . 国家级杰出人才、领军人才。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 xml:space="preserve">1 - 3 . 国家自然科学基金创新群体项目、 国家重大人才工程计划顶尖人才与创新团队项目（团队）负责人、国家重点研发计划首席科学家、国家自然科学基金重大项目负责人、国家社科基金重大项目负责人、国家现代农业产业技术体系首席科学家。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1 -4 . 国家级科研平台负责人。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1 - 5 .教育部学科评估A类一级学科带头人、国家重点学科一级学科带头人。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2 - 1 . 国家自然科学奖、国家技术发明奖、国家科技进步奖：特等奖前3名完成人；一等奖前2名完成人；二等奖第1完成人。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2 - 2 . 国家哲学社会科学基金项目优秀成果奖：特别荣誉奖前2名完成人；一等奖、二等奖 、三等奖第1完成人。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2 - 3 . 中国专利金奖、银奖、外观设计金奖第1完成人。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2 -4 .高等学校科学研究优秀成果奖：特等奖前2名完成人；一等奖第1完成人。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2 - 5 .省自然科学奖、技术发明奖 、科技进步奖：特等奖前2名完成人、一等奖第1完成人。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2 - 6 .省哲学社会科学基金项目优秀成果奖：一等奖第1完成人。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2 - 7 . 国际学者普遍认可的顶尖科技奖项获得者。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3 - 1 .以第一作者 （共同一作）  、 通讯作者 （共同通讯作者）  在顶级刊物Nature 、 Science 、 Cell和中国社会科学发表文章。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rPr>
            </w:pPr>
            <w:r>
              <w:rPr>
                <w:rFonts w:hint="eastAsia"/>
              </w:rPr>
              <w:t>3 - 2 .获批国家级一类新药的第一完成人</w:t>
            </w:r>
            <w:r>
              <w:rPr>
                <w:rFonts w:hint="eastAsia"/>
                <w:lang w:eastAsia="zh-CN"/>
              </w:rPr>
              <w:t>。</w:t>
            </w:r>
          </w:p>
        </w:tc>
        <w:tc>
          <w:tcPr>
            <w:tcW w:w="4370" w:type="dxa"/>
            <w:vAlign w:val="center"/>
          </w:tcPr>
          <w:p>
            <w:pPr>
              <w:keepNext w:val="0"/>
              <w:keepLines w:val="0"/>
              <w:pageBreakBefore w:val="0"/>
              <w:widowControl w:val="0"/>
              <w:kinsoku/>
              <w:wordWrap/>
              <w:overflowPunct/>
              <w:topLinePunct w:val="0"/>
              <w:autoSpaceDE/>
              <w:autoSpaceDN/>
              <w:bidi w:val="0"/>
              <w:adjustRightInd/>
              <w:snapToGrid/>
              <w:spacing w:before="148" w:line="192" w:lineRule="auto"/>
              <w:jc w:val="both"/>
              <w:textAlignment w:val="auto"/>
              <w:rPr>
                <w:rFonts w:hint="eastAsia"/>
              </w:rPr>
            </w:pPr>
            <w:r>
              <w:rPr>
                <w:rFonts w:hint="eastAsia"/>
              </w:rPr>
              <w:t>1 - 1. 国家级教学名师。</w:t>
            </w:r>
          </w:p>
          <w:p>
            <w:pPr>
              <w:keepNext w:val="0"/>
              <w:keepLines w:val="0"/>
              <w:pageBreakBefore w:val="0"/>
              <w:widowControl w:val="0"/>
              <w:kinsoku/>
              <w:wordWrap/>
              <w:overflowPunct/>
              <w:topLinePunct w:val="0"/>
              <w:autoSpaceDE/>
              <w:autoSpaceDN/>
              <w:bidi w:val="0"/>
              <w:adjustRightInd/>
              <w:snapToGrid/>
              <w:spacing w:before="148" w:line="192" w:lineRule="auto"/>
              <w:jc w:val="both"/>
              <w:textAlignment w:val="auto"/>
              <w:rPr>
                <w:rFonts w:hint="eastAsia"/>
              </w:rPr>
            </w:pPr>
            <w:r>
              <w:rPr>
                <w:rFonts w:hint="eastAsia"/>
              </w:rPr>
              <w:t>2 - 1. 国家级教学成果奖：特等奖前3名完成人</w:t>
            </w:r>
            <w:r>
              <w:rPr>
                <w:rFonts w:hint="eastAsia"/>
                <w:lang w:eastAsia="zh-CN"/>
              </w:rPr>
              <w:t>；</w:t>
            </w:r>
            <w:r>
              <w:rPr>
                <w:rFonts w:hint="eastAsia"/>
              </w:rPr>
              <w:t xml:space="preserve">一等奖前2名完成人；二等奖第一完成人。       </w:t>
            </w:r>
          </w:p>
          <w:p>
            <w:pPr>
              <w:keepNext w:val="0"/>
              <w:keepLines w:val="0"/>
              <w:pageBreakBefore w:val="0"/>
              <w:widowControl w:val="0"/>
              <w:kinsoku/>
              <w:wordWrap/>
              <w:overflowPunct/>
              <w:topLinePunct w:val="0"/>
              <w:autoSpaceDE/>
              <w:autoSpaceDN/>
              <w:bidi w:val="0"/>
              <w:adjustRightInd/>
              <w:snapToGrid/>
              <w:spacing w:before="148" w:line="192" w:lineRule="auto"/>
              <w:jc w:val="both"/>
              <w:textAlignment w:val="auto"/>
              <w:rPr>
                <w:rFonts w:ascii="微软雅黑" w:hAnsi="微软雅黑" w:eastAsia="微软雅黑" w:cs="微软雅黑"/>
                <w:b/>
                <w:bCs/>
                <w:color w:val="404040"/>
                <w:spacing w:val="18"/>
                <w:sz w:val="32"/>
                <w:szCs w:val="32"/>
                <w:vertAlign w:val="baseline"/>
              </w:rPr>
            </w:pPr>
            <w:r>
              <w:rPr>
                <w:rFonts w:hint="eastAsia"/>
              </w:rPr>
              <w:t>2 -2.省级教学成果奖：特等奖第一完成人。      一等奖第一完成人。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24" w:hRule="atLeast"/>
        </w:trPr>
        <w:tc>
          <w:tcPr>
            <w:tcW w:w="1035" w:type="dxa"/>
            <w:vMerge w:val="restart"/>
            <w:vAlign w:val="center"/>
          </w:tcPr>
          <w:p>
            <w:pPr>
              <w:spacing w:beforeAutospacing="0" w:line="240" w:lineRule="auto"/>
              <w:jc w:val="center"/>
              <w:rPr>
                <w:rFonts w:hint="default" w:ascii="微软雅黑" w:hAnsi="微软雅黑" w:eastAsia="微软雅黑" w:cs="微软雅黑"/>
                <w:b/>
                <w:bCs/>
                <w:color w:val="404040"/>
                <w:spacing w:val="18"/>
                <w:kern w:val="2"/>
                <w:sz w:val="30"/>
                <w:szCs w:val="30"/>
                <w:vertAlign w:val="baseline"/>
                <w:lang w:val="en-US" w:eastAsia="zh-CN" w:bidi="ar-SA"/>
              </w:rPr>
            </w:pPr>
            <w:r>
              <w:rPr>
                <w:rFonts w:hint="eastAsia" w:ascii="微软雅黑" w:hAnsi="微软雅黑" w:eastAsia="微软雅黑" w:cs="微软雅黑"/>
                <w:b/>
                <w:bCs/>
                <w:color w:val="404040"/>
                <w:spacing w:val="18"/>
                <w:sz w:val="28"/>
                <w:szCs w:val="28"/>
                <w:vertAlign w:val="baseline"/>
                <w:lang w:val="en-US" w:eastAsia="zh-CN"/>
              </w:rPr>
              <w:t>条件级别</w:t>
            </w:r>
          </w:p>
        </w:tc>
        <w:tc>
          <w:tcPr>
            <w:tcW w:w="13650" w:type="dxa"/>
            <w:gridSpan w:val="2"/>
            <w:vAlign w:val="top"/>
          </w:tcPr>
          <w:p>
            <w:pPr>
              <w:spacing w:beforeAutospacing="0" w:line="185" w:lineRule="auto"/>
              <w:jc w:val="center"/>
              <w:rPr>
                <w:rFonts w:ascii="微软雅黑" w:hAnsi="微软雅黑" w:eastAsia="微软雅黑" w:cs="微软雅黑"/>
                <w:b/>
                <w:bCs/>
                <w:color w:val="404040"/>
                <w:spacing w:val="18"/>
                <w:sz w:val="32"/>
                <w:szCs w:val="32"/>
                <w:vertAlign w:val="baseline"/>
              </w:rPr>
            </w:pPr>
            <w:r>
              <w:rPr>
                <w:rFonts w:hint="eastAsia" w:ascii="微软雅黑" w:hAnsi="微软雅黑" w:eastAsia="微软雅黑" w:cs="微软雅黑"/>
                <w:b/>
                <w:bCs/>
                <w:color w:val="404040"/>
                <w:spacing w:val="18"/>
                <w:sz w:val="28"/>
                <w:szCs w:val="28"/>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4" w:hRule="atLeast"/>
        </w:trPr>
        <w:tc>
          <w:tcPr>
            <w:tcW w:w="1035" w:type="dxa"/>
            <w:vMerge w:val="continue"/>
            <w:tcBorders/>
          </w:tcPr>
          <w:p>
            <w:pPr>
              <w:spacing w:before="148" w:line="185" w:lineRule="auto"/>
              <w:jc w:val="center"/>
              <w:rPr>
                <w:rFonts w:hint="eastAsia" w:ascii="微软雅黑" w:hAnsi="微软雅黑" w:eastAsia="微软雅黑" w:cs="微软雅黑"/>
                <w:b/>
                <w:bCs/>
                <w:color w:val="404040"/>
                <w:spacing w:val="18"/>
                <w:sz w:val="32"/>
                <w:szCs w:val="32"/>
                <w:vertAlign w:val="baseline"/>
                <w:lang w:val="en-US" w:eastAsia="zh-CN"/>
              </w:rPr>
            </w:pPr>
          </w:p>
        </w:tc>
        <w:tc>
          <w:tcPr>
            <w:tcW w:w="9280" w:type="dxa"/>
            <w:vAlign w:val="top"/>
          </w:tcPr>
          <w:p>
            <w:pPr>
              <w:spacing w:beforeAutospacing="0" w:line="240" w:lineRule="auto"/>
              <w:jc w:val="center"/>
              <w:rPr>
                <w:rFonts w:hint="eastAsia" w:ascii="微软雅黑" w:hAnsi="微软雅黑" w:eastAsia="微软雅黑" w:cs="微软雅黑"/>
                <w:b/>
                <w:bCs/>
                <w:color w:val="404040"/>
                <w:spacing w:val="18"/>
                <w:kern w:val="2"/>
                <w:sz w:val="28"/>
                <w:szCs w:val="28"/>
                <w:vertAlign w:val="baseline"/>
                <w:lang w:val="en-US" w:eastAsia="zh-CN" w:bidi="ar-SA"/>
              </w:rPr>
            </w:pPr>
            <w:r>
              <w:rPr>
                <w:rFonts w:hint="eastAsia" w:ascii="微软雅黑" w:hAnsi="微软雅黑" w:eastAsia="微软雅黑" w:cs="微软雅黑"/>
                <w:b/>
                <w:bCs/>
                <w:color w:val="404040"/>
                <w:spacing w:val="18"/>
                <w:sz w:val="28"/>
                <w:szCs w:val="28"/>
                <w:vertAlign w:val="baseline"/>
                <w:lang w:val="en-US" w:eastAsia="zh-CN"/>
              </w:rPr>
              <w:t>科研类</w:t>
            </w:r>
          </w:p>
        </w:tc>
        <w:tc>
          <w:tcPr>
            <w:tcW w:w="4370" w:type="dxa"/>
            <w:vAlign w:val="top"/>
          </w:tcPr>
          <w:p>
            <w:pPr>
              <w:spacing w:beforeAutospacing="0" w:line="185" w:lineRule="auto"/>
              <w:jc w:val="center"/>
              <w:rPr>
                <w:rFonts w:hint="eastAsia" w:ascii="微软雅黑" w:hAnsi="微软雅黑" w:eastAsia="微软雅黑" w:cs="微软雅黑"/>
                <w:b/>
                <w:bCs/>
                <w:color w:val="404040"/>
                <w:spacing w:val="18"/>
                <w:kern w:val="2"/>
                <w:sz w:val="28"/>
                <w:szCs w:val="28"/>
                <w:vertAlign w:val="baseline"/>
                <w:lang w:val="en-US" w:eastAsia="zh-CN" w:bidi="ar-SA"/>
              </w:rPr>
            </w:pPr>
            <w:r>
              <w:rPr>
                <w:rFonts w:hint="eastAsia" w:ascii="微软雅黑" w:hAnsi="微软雅黑" w:eastAsia="微软雅黑" w:cs="微软雅黑"/>
                <w:b/>
                <w:bCs/>
                <w:color w:val="404040"/>
                <w:spacing w:val="18"/>
                <w:sz w:val="28"/>
                <w:szCs w:val="28"/>
                <w:vertAlign w:val="baseline"/>
                <w:lang w:val="en-US" w:eastAsia="zh-CN"/>
              </w:rPr>
              <w:t>教学类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14" w:hRule="atLeast"/>
        </w:trPr>
        <w:tc>
          <w:tcPr>
            <w:tcW w:w="1035" w:type="dxa"/>
            <w:tcBorders/>
            <w:vAlign w:val="center"/>
          </w:tcPr>
          <w:p>
            <w:pPr>
              <w:spacing w:before="148" w:line="185" w:lineRule="auto"/>
              <w:jc w:val="center"/>
              <w:rPr>
                <w:rFonts w:hint="default" w:ascii="微软雅黑" w:hAnsi="微软雅黑" w:eastAsia="微软雅黑" w:cs="微软雅黑"/>
                <w:b/>
                <w:bCs/>
                <w:color w:val="404040"/>
                <w:spacing w:val="18"/>
                <w:sz w:val="32"/>
                <w:szCs w:val="32"/>
                <w:vertAlign w:val="baseline"/>
                <w:lang w:val="en-US" w:eastAsia="zh-CN"/>
              </w:rPr>
            </w:pPr>
            <w:r>
              <w:rPr>
                <w:rFonts w:hint="eastAsia" w:ascii="微软雅黑" w:hAnsi="微软雅黑" w:eastAsia="微软雅黑" w:cs="微软雅黑"/>
                <w:b/>
                <w:bCs/>
                <w:color w:val="404040"/>
                <w:spacing w:val="18"/>
                <w:sz w:val="32"/>
                <w:szCs w:val="32"/>
                <w:vertAlign w:val="baseline"/>
                <w:lang w:val="en-US" w:eastAsia="zh-CN"/>
              </w:rPr>
              <w:t>甲级</w:t>
            </w:r>
          </w:p>
        </w:tc>
        <w:tc>
          <w:tcPr>
            <w:tcW w:w="928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1-1.国家级青年人才                                                                                                                                                                                                     1-2.国家重点研发计划课题负责人、国家自然科学基金重大项目课题负责人、国家自然科学基金重点项目负责人、国家社科基金重点项目负责人、教育部重点科研项目负责人、国家自然科学基金创新群体项目或国家重大人才工程计划顶尖人才与创新团队中第2-3名成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 xml:space="preserve">1-3.国家级科研平台方向负责人                                                                                                                                                            1-4.教育部创新团队、国防科技创新团队、农业部科研创新团队及其他国家部委创新团队负责人、国家现代农业产业技术体系岗位科学家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1-5.省级杰出人才、领军人才、省级人才创新团队团队负责人；省自然科学基金杰出青年项目负责人。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1-6.省部级重点科研平台负责人                                                                                                                                                                                    1-7.教育部学科评估A类二级学科或学科方向带头人、教育部学科评估B类一级学科带头人、国家重点学科二级学科或学科方向带头人 、省级重点学科一级学科带头人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1-8.教育部认证的海外高校和科研机构任终身职务的学者；国际学者普遍认可的学术机构与组织的重要成员等。</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2-1.国家自然科学奖、国家技术发明奖、国家科技进步奖：特等奖第4-8名完成人；一等奖第3-5名完成人；二等奖第2-3名完成人。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2-2.国家哲学社会科学基金项目优秀成果奖：特别荣誉奖第3-4名完成人；一等奖、二等奖第2-3名完成人；三等奖第2完成人。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2-3.中国专利优秀奖、外观设计银奖第1完成人。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2-4.高等学校科学研究优秀成果奖：特等奖第3-5完成人；一等奖第2-3完成人；二等奖、三等奖第1完成人；青年奖获得者</w:t>
            </w:r>
            <w:r>
              <w:rPr>
                <w:rFonts w:hint="eastAsia"/>
                <w:lang w:eastAsia="zh-CN"/>
              </w:rPr>
              <w:t>；</w:t>
            </w:r>
            <w:r>
              <w:rPr>
                <w:rFonts w:hint="eastAsia"/>
              </w:rPr>
              <w:t xml:space="preserve">普及读物奖第1完成人。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2-5.国家其他部委奖项：特等奖、一等奖第1完成人。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2-6.国家一级学会所设奖励：一等奖第1完成人；国家认可的高层次社会奖项。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2-7.省自然科学奖、技术发明奖、科技进步奖：特等奖第3-4名完成人；一等奖第2-3名完成人；二等奖第1完成人。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2-8.省哲学社会科学基金项目优秀成果奖：一等奖第2-3名完成人；二等奖第1完成人。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2-9.广东省农业推广奖：一等奖第1完成人。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2-10.广东省专利奖：金奖第1完成人；杰出发明人奖第1完成人。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2 - 11 . 国际学者普遍认可的知名科技奖项获得者。</w:t>
            </w:r>
          </w:p>
        </w:tc>
        <w:tc>
          <w:tcPr>
            <w:tcW w:w="43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lang w:val="en-US" w:eastAsia="zh-CN"/>
              </w:rPr>
            </w:pPr>
            <w:r>
              <w:rPr>
                <w:rFonts w:hint="eastAsia"/>
                <w:lang w:val="en-US" w:eastAsia="zh-CN"/>
              </w:rPr>
              <w:t xml:space="preserve">1-1.国家级一流专业负责人、国家级一流课程、 国家级精品课程、课程思政示范课程负责人；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lang w:val="en-US" w:eastAsia="zh-CN"/>
              </w:rPr>
            </w:pPr>
            <w:r>
              <w:rPr>
                <w:rFonts w:hint="eastAsia"/>
                <w:lang w:val="en-US" w:eastAsia="zh-CN"/>
              </w:rPr>
              <w:t>1-2.国家马工程教材建设首席专家、国家级规    划教材唯一或第一主编；                                  1-3.国家级教学团队、课程思政示范团队负责    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lang w:val="en-US" w:eastAsia="zh-CN"/>
              </w:rPr>
            </w:pPr>
            <w:r>
              <w:rPr>
                <w:rFonts w:hint="eastAsia"/>
                <w:lang w:val="en-US" w:eastAsia="zh-CN"/>
              </w:rPr>
              <w:t>1-4.全国优秀教师；省级教学名师。             1-5.国家级实验教学示范中心/教学型重点实 验室/协同育人平台等负责人。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lang w:val="en-US" w:eastAsia="zh-CN"/>
              </w:rPr>
            </w:pPr>
            <w:r>
              <w:rPr>
                <w:rFonts w:hint="eastAsia"/>
                <w:lang w:val="en-US" w:eastAsia="zh-CN"/>
              </w:rPr>
              <w:t>2-1.国家级教学成果奖：特等奖第4-6名完成 人；一等奖第3-5名完成人；二等奖第2-4名  完成人。                                                      2-2.获国家级授课竞赛第一奖励等级。          2-3.省级教学成果奖：特等奖2-4名完成人； 一等奖第一完成人。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微软雅黑" w:hAnsi="微软雅黑" w:eastAsia="微软雅黑" w:cs="微软雅黑"/>
                <w:b/>
                <w:bCs/>
                <w:color w:val="404040"/>
                <w:spacing w:val="18"/>
                <w:sz w:val="30"/>
                <w:szCs w:val="30"/>
                <w:vertAlign w:val="baseline"/>
                <w:lang w:val="en-US" w:eastAsia="zh-CN"/>
              </w:rPr>
            </w:pPr>
            <w:r>
              <w:rPr>
                <w:rFonts w:hint="eastAsia"/>
                <w:lang w:val="en-US" w:eastAsia="zh-CN"/>
              </w:rPr>
              <w:t>2-4.作为第一指导教师，指导学生获得”挑战   杯”、“创青春”、“互联网+”国家级第一、第二奖励等级。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35" w:type="dxa"/>
            <w:vMerge w:val="restart"/>
            <w:tcBorders/>
            <w:vAlign w:val="center"/>
          </w:tcPr>
          <w:p>
            <w:pPr>
              <w:spacing w:beforeAutospacing="0" w:line="240" w:lineRule="auto"/>
              <w:jc w:val="center"/>
              <w:rPr>
                <w:rFonts w:hint="eastAsia" w:ascii="微软雅黑" w:hAnsi="微软雅黑" w:eastAsia="微软雅黑" w:cs="微软雅黑"/>
                <w:b/>
                <w:bCs/>
                <w:color w:val="404040"/>
                <w:spacing w:val="18"/>
                <w:kern w:val="2"/>
                <w:sz w:val="28"/>
                <w:szCs w:val="28"/>
                <w:vertAlign w:val="baseline"/>
                <w:lang w:val="en-US" w:eastAsia="zh-CN" w:bidi="ar-SA"/>
              </w:rPr>
            </w:pPr>
            <w:r>
              <w:rPr>
                <w:rFonts w:hint="eastAsia" w:ascii="微软雅黑" w:hAnsi="微软雅黑" w:eastAsia="微软雅黑" w:cs="微软雅黑"/>
                <w:b/>
                <w:bCs/>
                <w:color w:val="404040"/>
                <w:spacing w:val="18"/>
                <w:sz w:val="28"/>
                <w:szCs w:val="28"/>
                <w:vertAlign w:val="baseline"/>
                <w:lang w:val="en-US" w:eastAsia="zh-CN"/>
              </w:rPr>
              <w:t>条件级别</w:t>
            </w:r>
          </w:p>
        </w:tc>
        <w:tc>
          <w:tcPr>
            <w:tcW w:w="13650" w:type="dxa"/>
            <w:gridSpan w:val="2"/>
            <w:vAlign w:val="top"/>
          </w:tcPr>
          <w:p>
            <w:pPr>
              <w:spacing w:beforeAutospacing="0" w:line="185" w:lineRule="auto"/>
              <w:jc w:val="center"/>
              <w:rPr>
                <w:rFonts w:hint="eastAsia" w:ascii="微软雅黑" w:hAnsi="微软雅黑" w:eastAsia="微软雅黑" w:cs="微软雅黑"/>
                <w:b/>
                <w:bCs/>
                <w:color w:val="404040"/>
                <w:spacing w:val="18"/>
                <w:sz w:val="28"/>
                <w:szCs w:val="28"/>
                <w:vertAlign w:val="baseline"/>
                <w:lang w:val="en-US" w:eastAsia="zh-CN"/>
              </w:rPr>
            </w:pPr>
            <w:r>
              <w:rPr>
                <w:rFonts w:hint="eastAsia" w:ascii="微软雅黑" w:hAnsi="微软雅黑" w:eastAsia="微软雅黑" w:cs="微软雅黑"/>
                <w:b/>
                <w:bCs/>
                <w:color w:val="404040"/>
                <w:spacing w:val="18"/>
                <w:sz w:val="28"/>
                <w:szCs w:val="28"/>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 w:type="dxa"/>
            <w:vMerge w:val="continue"/>
            <w:tcBorders/>
            <w:vAlign w:val="center"/>
          </w:tcPr>
          <w:p>
            <w:pPr>
              <w:spacing w:before="148" w:line="185" w:lineRule="auto"/>
              <w:jc w:val="center"/>
              <w:rPr>
                <w:rFonts w:hint="eastAsia" w:ascii="微软雅黑" w:hAnsi="微软雅黑" w:eastAsia="微软雅黑" w:cs="微软雅黑"/>
                <w:b/>
                <w:bCs/>
                <w:color w:val="404040"/>
                <w:spacing w:val="18"/>
                <w:sz w:val="28"/>
                <w:szCs w:val="28"/>
                <w:vertAlign w:val="baseline"/>
                <w:lang w:val="en-US" w:eastAsia="zh-CN"/>
              </w:rPr>
            </w:pPr>
          </w:p>
        </w:tc>
        <w:tc>
          <w:tcPr>
            <w:tcW w:w="9280" w:type="dxa"/>
            <w:vAlign w:val="top"/>
          </w:tcPr>
          <w:p>
            <w:pPr>
              <w:spacing w:beforeAutospacing="0" w:line="185" w:lineRule="auto"/>
              <w:jc w:val="center"/>
              <w:rPr>
                <w:rFonts w:hint="eastAsia" w:ascii="微软雅黑" w:hAnsi="微软雅黑" w:eastAsia="微软雅黑" w:cs="微软雅黑"/>
                <w:b/>
                <w:bCs/>
                <w:color w:val="404040"/>
                <w:spacing w:val="18"/>
                <w:kern w:val="2"/>
                <w:sz w:val="28"/>
                <w:szCs w:val="28"/>
                <w:vertAlign w:val="baseline"/>
                <w:lang w:val="en-US" w:eastAsia="zh-CN" w:bidi="ar-SA"/>
              </w:rPr>
            </w:pPr>
            <w:r>
              <w:rPr>
                <w:rFonts w:hint="eastAsia" w:ascii="微软雅黑" w:hAnsi="微软雅黑" w:eastAsia="微软雅黑" w:cs="微软雅黑"/>
                <w:b/>
                <w:bCs/>
                <w:color w:val="404040"/>
                <w:spacing w:val="18"/>
                <w:sz w:val="28"/>
                <w:szCs w:val="28"/>
                <w:vertAlign w:val="baseline"/>
                <w:lang w:val="en-US" w:eastAsia="zh-CN"/>
              </w:rPr>
              <w:t>科研类</w:t>
            </w:r>
          </w:p>
        </w:tc>
        <w:tc>
          <w:tcPr>
            <w:tcW w:w="4370" w:type="dxa"/>
            <w:vAlign w:val="top"/>
          </w:tcPr>
          <w:p>
            <w:pPr>
              <w:spacing w:beforeAutospacing="0" w:line="185" w:lineRule="auto"/>
              <w:jc w:val="center"/>
              <w:rPr>
                <w:rFonts w:hint="eastAsia" w:ascii="微软雅黑" w:hAnsi="微软雅黑" w:eastAsia="微软雅黑" w:cs="微软雅黑"/>
                <w:b/>
                <w:bCs/>
                <w:color w:val="404040"/>
                <w:spacing w:val="18"/>
                <w:kern w:val="2"/>
                <w:sz w:val="28"/>
                <w:szCs w:val="28"/>
                <w:vertAlign w:val="baseline"/>
                <w:lang w:val="en-US" w:eastAsia="zh-CN" w:bidi="ar-SA"/>
              </w:rPr>
            </w:pPr>
            <w:r>
              <w:rPr>
                <w:rFonts w:hint="eastAsia" w:ascii="微软雅黑" w:hAnsi="微软雅黑" w:eastAsia="微软雅黑" w:cs="微软雅黑"/>
                <w:b/>
                <w:bCs/>
                <w:color w:val="404040"/>
                <w:spacing w:val="18"/>
                <w:sz w:val="28"/>
                <w:szCs w:val="28"/>
                <w:vertAlign w:val="baseline"/>
                <w:lang w:val="en-US" w:eastAsia="zh-CN"/>
              </w:rPr>
              <w:t>教学类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35" w:type="dxa"/>
            <w:tcBorders/>
            <w:vAlign w:val="center"/>
          </w:tcPr>
          <w:p>
            <w:pPr>
              <w:spacing w:beforeAutospacing="0" w:line="185" w:lineRule="auto"/>
              <w:jc w:val="center"/>
              <w:rPr>
                <w:rFonts w:hint="default" w:ascii="微软雅黑" w:hAnsi="微软雅黑" w:eastAsia="微软雅黑" w:cs="微软雅黑"/>
                <w:b/>
                <w:bCs/>
                <w:color w:val="404040"/>
                <w:spacing w:val="18"/>
                <w:sz w:val="32"/>
                <w:szCs w:val="32"/>
                <w:vertAlign w:val="baseline"/>
                <w:lang w:val="en-US" w:eastAsia="zh-CN"/>
              </w:rPr>
            </w:pPr>
            <w:r>
              <w:rPr>
                <w:rFonts w:hint="eastAsia" w:ascii="微软雅黑" w:hAnsi="微软雅黑" w:eastAsia="微软雅黑" w:cs="微软雅黑"/>
                <w:b/>
                <w:bCs/>
                <w:color w:val="404040"/>
                <w:spacing w:val="18"/>
                <w:sz w:val="32"/>
                <w:szCs w:val="32"/>
                <w:vertAlign w:val="baseline"/>
                <w:lang w:val="en-US" w:eastAsia="zh-CN"/>
              </w:rPr>
              <w:t>甲级</w:t>
            </w:r>
          </w:p>
        </w:tc>
        <w:tc>
          <w:tcPr>
            <w:tcW w:w="928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 xml:space="preserve">3-1.以第一作者、通讯作者在Nature、Science、Cell子刊发表文章；以第一作者、通讯作者发表文章为ESI热点论文或高被引论文；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3-2.国家出版基金资助出版的学术著作的第一主编或第一完成人；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rPr>
            </w:pPr>
            <w:r>
              <w:rPr>
                <w:rFonts w:hint="eastAsia"/>
              </w:rPr>
              <w:t>3-3.以第一发明人获得PCT发明专利授权；以第一完成人制定国家标准；作为第一完成人的科研成果单个项目转让经费300万元以上；获批国家级一类新 药的第2-3名完成人；获批国家级审定品种或二类新药的第一完成人。</w:t>
            </w:r>
          </w:p>
        </w:tc>
        <w:tc>
          <w:tcPr>
            <w:tcW w:w="4370" w:type="dxa"/>
            <w:vAlign w:val="top"/>
          </w:tcPr>
          <w:p>
            <w:pPr>
              <w:spacing w:before="148" w:line="185" w:lineRule="auto"/>
              <w:jc w:val="center"/>
              <w:rPr>
                <w:rFonts w:hint="eastAsia" w:ascii="微软雅黑" w:hAnsi="微软雅黑" w:eastAsia="微软雅黑" w:cs="微软雅黑"/>
                <w:b/>
                <w:bCs/>
                <w:color w:val="404040"/>
                <w:spacing w:val="18"/>
                <w:sz w:val="30"/>
                <w:szCs w:val="30"/>
                <w:vertAlign w:val="baseline"/>
                <w:lang w:val="en-US" w:eastAsia="zh-CN"/>
              </w:rPr>
            </w:pPr>
          </w:p>
        </w:tc>
      </w:tr>
    </w:tbl>
    <w:p>
      <w:pPr>
        <w:spacing w:before="148" w:line="185" w:lineRule="auto"/>
        <w:jc w:val="center"/>
        <w:rPr>
          <w:rFonts w:ascii="微软雅黑" w:hAnsi="微软雅黑" w:eastAsia="微软雅黑" w:cs="微软雅黑"/>
          <w:b/>
          <w:bCs/>
          <w:color w:val="404040"/>
          <w:spacing w:val="18"/>
          <w:sz w:val="40"/>
          <w:szCs w:val="40"/>
        </w:rPr>
      </w:pPr>
    </w:p>
    <w:p>
      <w:pPr>
        <w:rPr>
          <w:rFonts w:hint="eastAsia" w:ascii="宋体" w:hAnsi="宋体" w:eastAsia="宋体" w:cs="宋体"/>
          <w:sz w:val="32"/>
          <w:szCs w:val="40"/>
          <w:lang w:val="en-US" w:eastAsia="zh-CN"/>
        </w:rPr>
      </w:pPr>
    </w:p>
    <w:sectPr>
      <w:pgSz w:w="16838" w:h="11906" w:orient="landscape"/>
      <w:pgMar w:top="896" w:right="1100" w:bottom="896" w:left="11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55F9F"/>
    <w:rsid w:val="13655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2022-03-10T01:34:00Z</dcterms:created>
  <dc:creator>seasoal</dc:creator>
  <cp:lastModifiedBy>seasoal</cp:lastModifiedBy>
  <dcterms:modified xsi:type="dcterms:W3CDTF">2022-03-10T02:02:54Z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E2E3C92D7DDF4A57AEBADD8A282F2873</vt:lpwstr>
  </property>
</Properties>
</file>